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38 二〇二二年奉新县预算绩效管理工作</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开展情况说明</w:t>
      </w:r>
    </w:p>
    <w:p>
      <w:pPr>
        <w:ind w:firstLine="632" w:firstLineChars="200"/>
        <w:jc w:val="left"/>
        <w:rPr>
          <w:rFonts w:hint="eastAsia" w:ascii="仿宋" w:hAnsi="仿宋" w:eastAsia="仿宋" w:cs="仿宋"/>
          <w:b w:val="0"/>
          <w:bCs w:val="0"/>
          <w:sz w:val="32"/>
          <w:szCs w:val="32"/>
          <w:lang w:val="en-US" w:eastAsia="zh-CN"/>
        </w:rPr>
      </w:pP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2022年，奉新县围绕加快建立现代财政制度，</w:t>
      </w:r>
      <w:bookmarkStart w:id="0" w:name="_GoBack"/>
      <w:bookmarkEnd w:id="0"/>
      <w:r>
        <w:rPr>
          <w:rFonts w:hint="eastAsia" w:ascii="仿宋" w:hAnsi="仿宋" w:eastAsia="仿宋" w:cs="仿宋"/>
          <w:b w:val="0"/>
          <w:bCs w:val="0"/>
          <w:sz w:val="32"/>
          <w:szCs w:val="32"/>
          <w:lang w:val="en-US" w:eastAsia="zh-CN"/>
        </w:rPr>
        <w:t>推进国家治理体系和治理能力现代化，以贯彻落实《奉新县推进预算绩效管理提质增效工作方案》为重要抓手，围绕推动我县全面建成“全方位、全过程、全覆盖”及“有评估、有目标、有监控、有评价、有应用”的预算绩效管理体系,找准发力点，推进预算绩效管理提质增效。现将具体工作开展情况说明如下：</w:t>
      </w:r>
    </w:p>
    <w:p>
      <w:pPr>
        <w:numPr>
          <w:ilvl w:val="0"/>
          <w:numId w:val="0"/>
        </w:numPr>
        <w:ind w:firstLine="632"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一、预算绩效管理工作取得的成效</w:t>
      </w:r>
    </w:p>
    <w:p>
      <w:pPr>
        <w:numPr>
          <w:ilvl w:val="0"/>
          <w:numId w:val="0"/>
        </w:numPr>
        <w:ind w:firstLine="632"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（一）绩效目标管理水平持续提升</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织全县预算单位对2023年度财政支出申报绩效目标，对上报绩效目标严格审核。依托一体化系统，开展“绩效+业务”集中审核，有效提升审核质量。实行绩效目标动态跟踪。对于新增预算项目，要求预算单位设定绩效目标，确保目标不漏项；对于绩效目标不完善的预算项目，退回单位重新填报，督促单位加快完善到位，确保绩效目标编制的及时性和完整性。强化审核结果应用。对部分绩效目标编制质量较差的预算项目，及时反馈，作为安排部门预算的一项参考依据。倒逼预算单位提升绩效目标管理水平。审核通过后绩效目标与部门预算同步批复给预算单位，并随同2022年各单位部门预算在政府网站向社会公开。</w:t>
      </w:r>
    </w:p>
    <w:p>
      <w:pPr>
        <w:numPr>
          <w:ilvl w:val="0"/>
          <w:numId w:val="0"/>
        </w:numPr>
        <w:ind w:firstLine="632"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（二）绩效监控实现全覆盖</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部门自行监控和财政重点监控相结合，组织县直各单位、乡镇开展2022年度预算项目绩效运行监控工作。为提高预算执行效率和资金使用效益，组织全县预算单位开展5轮监控，重点针对预算执行情况和绩效目标实现程度采集数据、分析偏差、预测项目完成情况，对监控中发现的问题及时纠偏。选取10个项目开展重点监控，有力发挥了监控的效果。</w:t>
      </w:r>
    </w:p>
    <w:p>
      <w:pPr>
        <w:numPr>
          <w:ilvl w:val="0"/>
          <w:numId w:val="0"/>
        </w:numPr>
        <w:ind w:firstLine="632"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（三）开展财政支出项目绩效自评</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组织开展县级部门2021年度项目支出绩效评价和部门整体支出绩效评价工作。各主管部门负责组织本级和所属单位开展项目支出绩效自评工作，汇总自评结果，落实评价整改意见。部门整体支出绩效评价由各部门自行组织，也可委托第三方进行，制定评价方案，设计评价指标，对照打分。</w:t>
      </w:r>
    </w:p>
    <w:p>
      <w:pPr>
        <w:numPr>
          <w:ilvl w:val="0"/>
          <w:numId w:val="0"/>
        </w:numPr>
        <w:ind w:firstLine="632"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（四）扎实开展财政重点绩效评价</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突出问题导向，聚焦县委、县政府重点关注和关系重大民生、社会公益性较强、社会关注度较高等方面，选取10个项目开展财政重点绩效评价，涉及教育、城建、专项债券等领域。优选评价机构。遵循“注重能力、兼顾公平；能进能出、择优选择”的原则，选取专业能力突出、机构管理规范、从业经验丰富、执业信誉较好的第三方机构参与重点评价工作的实施。做好评价结果反馈整改。将评价结果及时反馈到对应单位，并要求预算单位认真进行整改。。</w:t>
      </w:r>
    </w:p>
    <w:p>
      <w:pPr>
        <w:numPr>
          <w:ilvl w:val="0"/>
          <w:numId w:val="0"/>
        </w:numPr>
        <w:ind w:firstLine="632"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二、工作存在的不足</w:t>
      </w:r>
    </w:p>
    <w:p>
      <w:pPr>
        <w:numPr>
          <w:ilvl w:val="0"/>
          <w:numId w:val="0"/>
        </w:numPr>
        <w:ind w:firstLine="632"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（一）预算绩效管理理念尚未牢固树立</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一些部门特别是基层部门对加强预算绩效管理工作还不够重视，在落实绩效管理主体责任方面存在差距。</w:t>
      </w:r>
    </w:p>
    <w:p>
      <w:pPr>
        <w:numPr>
          <w:ilvl w:val="0"/>
          <w:numId w:val="0"/>
        </w:numPr>
        <w:ind w:firstLine="632"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（二）全方位预算绩效管理格局尚未构建</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部分项目绩效目标设定不合理。绩效指标的质量和层次有待提高，绩效评价结果不准确，单位在开展绩效自评时评分缺乏依据，评价结果应用不充分，结果应用还不够全面。</w:t>
      </w:r>
    </w:p>
    <w:p>
      <w:pPr>
        <w:numPr>
          <w:ilvl w:val="0"/>
          <w:numId w:val="0"/>
        </w:numPr>
        <w:ind w:firstLine="632"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三、下一步工作对策</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强化预算绩效管理，健全绩效管理机制。进一步提高思想认识，健全预算绩效管理机制，积极推进预算一体化改革，不断提升预算绩效管理水平，切实提高财政资金使用效益。</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推进预算绩效管理流程规范化。组织开展2022年度项目支出绩效评价和部门整体支出绩效评价工作，组织县直各单位、乡镇开展2023年度预算项目绩效运行监控工作。布置开展2024年度事前绩效评估和预算绩效目标管理工作。</w:t>
      </w:r>
    </w:p>
    <w:p>
      <w:pPr>
        <w:numPr>
          <w:ilvl w:val="0"/>
          <w:numId w:val="0"/>
        </w:numPr>
        <w:ind w:firstLine="632"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强化评价结果应用，提升财政资金绩效。进一步建立健全绩效评价结果与预算安排挂钩制度，将各部门绩效自评及抽评结果作为下一年度预算编制的重要参考依据。</w:t>
      </w:r>
    </w:p>
    <w:p>
      <w:pPr>
        <w:numPr>
          <w:ilvl w:val="0"/>
          <w:numId w:val="0"/>
        </w:numPr>
        <w:ind w:firstLine="632" w:firstLineChars="200"/>
        <w:jc w:val="left"/>
      </w:pPr>
      <w:r>
        <w:rPr>
          <w:rFonts w:hint="eastAsia" w:ascii="仿宋" w:hAnsi="仿宋" w:eastAsia="仿宋" w:cs="仿宋"/>
          <w:b w:val="0"/>
          <w:bCs w:val="0"/>
          <w:sz w:val="32"/>
          <w:szCs w:val="32"/>
          <w:lang w:val="en-US" w:eastAsia="zh-CN"/>
        </w:rPr>
        <w:t>加强预算绩效专业队伍建设。建议上级通过组织培训和经验交流等，加强业务人员绩效意识，提高绩效评价技能，提升业务能力。借助社会第三方专业技术力量。选取专业能力突出、资质优良的第三方机构参与绩效管理工作，指导部门和单位提高预算绩效管理工作质量。</w:t>
      </w:r>
    </w:p>
    <w:sectPr>
      <w:pgSz w:w="11906" w:h="16838"/>
      <w:pgMar w:top="1984" w:right="1474" w:bottom="1984" w:left="1587" w:header="851" w:footer="992" w:gutter="0"/>
      <w:cols w:space="0" w:num="1"/>
      <w:rtlGutter w:val="0"/>
      <w:docGrid w:type="linesAndChars" w:linePitch="58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2NWI0NDUyYjkwNTdiMmU2YzMwYTY4NGY3MmNmYWQifQ=="/>
  </w:docVars>
  <w:rsids>
    <w:rsidRoot w:val="04E77348"/>
    <w:rsid w:val="00225648"/>
    <w:rsid w:val="04E77348"/>
    <w:rsid w:val="056B1570"/>
    <w:rsid w:val="2DD3028C"/>
    <w:rsid w:val="34E56399"/>
    <w:rsid w:val="34F35E57"/>
    <w:rsid w:val="4AE118AE"/>
    <w:rsid w:val="75F46B5B"/>
    <w:rsid w:val="788F3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2023-09-26T01:43:00Z</dcterms:created>
  <dc:creator>杨晶</dc:creator>
  <cp:lastModifiedBy>五十弦</cp:lastModifiedBy>
  <cp:lastPrinted>2023-11-22T02:52:00Z</cp:lastPrinted>
  <dcterms:modified xsi:type="dcterms:W3CDTF">2024-05-07T01:39:53Z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CADD9219408F48F09231895C6935BD9E_12</vt:lpwstr>
  </property>
</Properties>
</file>